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80"/>
      </w:pPr>
      <w:r>
        <w:rPr>
          <w:b/>
          <w:bCs/>
          <w:color w:val="2B3C33"/>
          <w:sz w:val="16"/>
          <w:szCs w:val="16"/>
          <w:rFonts w:ascii="Calibri" w:cs="Calibri" w:eastAsia="Calibri" w:hAnsi="Calibri"/>
          <w:spacing w:val="60"/>
        </w:rPr>
        <w:t xml:space="preserve">AI ENGAGEMENT-LETTER &amp; RULE 1.5 FEE-BILLING PACK · WORD TEMPLATE</w:t>
      </w:r>
    </w:p>
    <w:p>
      <w:pPr>
        <w:pStyle w:val="Heading1"/>
        <w:spacing w:before="0" w:after="160"/>
      </w:pPr>
      <w:r>
        <w:rPr>
          <w:b/>
          <w:bCs/>
          <w:color w:val="1C1917"/>
          <w:sz w:val="36"/>
          <w:szCs w:val="36"/>
          <w:rFonts w:ascii="Cambria" w:cs="Cambria" w:eastAsia="Cambria" w:hAnsi="Cambria"/>
        </w:rPr>
        <w:t xml:space="preserve">[FIRM NAME] — Engagement-letter clause library</w:t>
      </w:r>
    </w:p>
    <w:p>
      <w:pPr>
        <w:spacing w:before="0" w:after="120" w:line="320"/>
      </w:pPr>
      <w:r>
        <w:rPr>
          <w:color w:val="6B6560"/>
          <w:sz w:val="18"/>
          <w:szCs w:val="18"/>
          <w:rFonts w:ascii="Calibri" w:cs="Calibri" w:eastAsia="Calibri" w:hAnsi="Calibri"/>
        </w:rPr>
        <w:t xml:space="preserve">Effective </w:t>
      </w:r>
      <w:r>
        <w:rPr>
          <w:b/>
          <w:bCs/>
          <w:color w:val="5E1F1F"/>
          <w:highlight w:val="yellow"/>
          <w:highlightCs w:val="yellow"/>
        </w:rPr>
        <w:t xml:space="preserve">[DATE]</w:t>
      </w:r>
      <w:r>
        <w:rPr>
          <w:color w:val="6B6560"/>
          <w:sz w:val="18"/>
          <w:szCs w:val="18"/>
          <w:rFonts w:ascii="Calibri" w:cs="Calibri" w:eastAsia="Calibri" w:hAnsi="Calibri"/>
        </w:rPr>
        <w:t xml:space="preserve">. Reviewed annually by </w:t>
      </w:r>
      <w:r>
        <w:rPr>
          <w:b/>
          <w:bCs/>
          <w:color w:val="5E1F1F"/>
          <w:highlight w:val="yellow"/>
          <w:highlightCs w:val="yellow"/>
        </w:rPr>
        <w:t xml:space="preserve">[ETHICS PARTNER NAME]</w:t>
      </w:r>
      <w:r>
        <w:rPr>
          <w:color w:val="6B6560"/>
          <w:sz w:val="18"/>
          <w:szCs w:val="18"/>
          <w:rFonts w:ascii="Calibri" w:cs="Calibri" w:eastAsia="Calibri" w:hAnsi="Calibri"/>
        </w:rPr>
        <w:t xml:space="preserve">. Approved by </w:t>
      </w:r>
      <w:r>
        <w:rPr>
          <w:b/>
          <w:bCs/>
          <w:color w:val="5E1F1F"/>
          <w:highlight w:val="yellow"/>
          <w:highlightCs w:val="yellow"/>
        </w:rPr>
        <w:t xml:space="preserve">[MANAGING PARTNER NAME]</w:t>
      </w:r>
      <w:r>
        <w:rPr>
          <w:color w:val="6B6560"/>
          <w:sz w:val="18"/>
          <w:szCs w:val="18"/>
          <w:rFonts w:ascii="Calibri" w:cs="Calibri" w:eastAsia="Calibri" w:hAnsi="Calibri"/>
        </w:rPr>
        <w:t xml:space="preserve">, Managing Partner.</w:t>
      </w:r>
    </w:p>
    <w:p>
      <w:pPr>
        <w:spacing w:before="0" w:after="120" w:line="320"/>
      </w:pPr>
      <w:r>
        <w:rPr>
          <w:sz w:val="22"/>
          <w:szCs w:val="22"/>
          <w:rFonts w:ascii="Calibri" w:cs="Calibri" w:eastAsia="Calibri" w:hAnsi="Calibri"/>
        </w:rPr>
        <w:t xml:space="preserve">Five clauses calibrated to the highest current state-bar floor: ABA Formal Op. 512 (July 2024), Texas Op. 705 (February 2025), Florida 24-1 (January 2024), California Practical Guidance (November 2023), DC Bar Op. 388 (April 2024), NYSBA Task Force Report (April 2024), and PA-Phila. Joint Op. 2024-200 (May 2024). Bracketed values are highlighted in yellow for replacement. Your ethics partner reviews and approves before deployment.</w:t>
      </w:r>
    </w:p>
    <w:p>
      <w:pPr>
        <w:pBdr>
          <w:bottom w:val="single" w:color="D6D2CB" w:sz="6"/>
        </w:pBdr>
        <w:spacing w:before="120" w:after="120"/>
      </w:pPr>
    </w:p>
    <w:p>
      <w:pPr>
        <w:pStyle w:val="Heading2"/>
        <w:spacing w:before="320" w:after="120"/>
      </w:pPr>
      <w:r>
        <w:rPr>
          <w:b/>
          <w:bCs/>
          <w:color w:val="1C1917"/>
          <w:sz w:val="28"/>
          <w:szCs w:val="28"/>
          <w:rFonts w:ascii="Cambria" w:cs="Cambria" w:eastAsia="Cambria" w:hAnsi="Cambria"/>
        </w:rPr>
        <w:t xml:space="preserve">Clause 01 — AI-use disclosure (multi-state default)</w:t>
      </w:r>
    </w:p>
    <w:p>
      <w:pPr>
        <w:spacing w:before="0" w:after="120" w:line="320"/>
      </w:pPr>
      <w:r>
        <w:rPr>
          <w:sz w:val="22"/>
          <w:szCs w:val="22"/>
          <w:rFonts w:ascii="Calibri" w:cs="Calibri" w:eastAsia="Calibri" w:hAnsi="Calibri"/>
        </w:rPr>
        <w:t xml:space="preserve">In connection with the Matter, we may use the following generative AI tools to assist with our representation: </w:t>
      </w:r>
      <w:r>
        <w:rPr>
          <w:b/>
          <w:bCs/>
          <w:color w:val="5E1F1F"/>
          <w:highlight w:val="yellow"/>
          <w:highlightCs w:val="yellow"/>
        </w:rPr>
        <w:t xml:space="preserve">[AUTHORIZED TOOLS — e.g. Harvey, Spellbook, Casetext CoCounsel, Lexis+ AI, ChatGPT Enterprise]</w:t>
      </w:r>
      <w:r>
        <w:rPr>
          <w:sz w:val="22"/>
          <w:szCs w:val="22"/>
          <w:rFonts w:ascii="Calibri" w:cs="Calibri" w:eastAsia="Calibri" w:hAnsi="Calibri"/>
        </w:rPr>
        <w:t xml:space="preserve">. These tools may be used for </w:t>
      </w:r>
      <w:r>
        <w:rPr>
          <w:b/>
          <w:bCs/>
          <w:color w:val="5E1F1F"/>
          <w:highlight w:val="yellow"/>
          <w:highlightCs w:val="yellow"/>
        </w:rPr>
        <w:t xml:space="preserve">[CATEGORIES OF WORK — e.g. legal research synthesis, first-draft preparation of motions and briefs, deposition-preparation summaries, contract clause comparison]</w:t>
      </w:r>
      <w:r>
        <w:rPr>
          <w:sz w:val="22"/>
          <w:szCs w:val="22"/>
          <w:rFonts w:ascii="Calibri" w:cs="Calibri" w:eastAsia="Calibri" w:hAnsi="Calibri"/>
        </w:rPr>
        <w:t xml:space="preserve">. Each authorized tool operates in a tenant-isolated environment configured so that inputs are not used to train the underlying model and are not accessible to other tenants of the vendor. The firm will obtain separate written consent before using any generative AI tool not listed above on your matter.</w:t>
      </w:r>
    </w:p>
    <w:p>
      <w:pPr>
        <w:spacing w:before="60" w:after="200"/>
      </w:pPr>
      <w:r>
        <w:rPr>
          <w:i/>
          <w:iCs/>
          <w:color w:val="6B6560"/>
          <w:sz w:val="18"/>
          <w:szCs w:val="18"/>
          <w:rFonts w:ascii="Calibri" w:cs="Calibri" w:eastAsia="Calibri" w:hAnsi="Calibri"/>
        </w:rPr>
        <w:t xml:space="preserve">Maps to ABA Op. 512 specific-consent standard, California Practical Guidance no-training rule, and NYSBA Task Force communication recommendation.</w:t>
      </w:r>
    </w:p>
    <w:p>
      <w:pPr>
        <w:pStyle w:val="Heading2"/>
        <w:spacing w:before="320" w:after="120"/>
      </w:pPr>
      <w:r>
        <w:rPr>
          <w:b/>
          <w:bCs/>
          <w:color w:val="1C1917"/>
          <w:sz w:val="28"/>
          <w:szCs w:val="28"/>
          <w:rFonts w:ascii="Cambria" w:cs="Cambria" w:eastAsia="Cambria" w:hAnsi="Cambria"/>
        </w:rPr>
        <w:t xml:space="preserve">Clause 02 — Rule 1.6 informed consent (matters with confidential information)</w:t>
      </w:r>
    </w:p>
    <w:p>
      <w:pPr>
        <w:spacing w:before="0" w:after="120" w:line="320"/>
      </w:pPr>
      <w:r>
        <w:rPr>
          <w:sz w:val="22"/>
          <w:szCs w:val="22"/>
          <w:rFonts w:ascii="Calibri" w:cs="Calibri" w:eastAsia="Calibri" w:hAnsi="Calibri"/>
        </w:rPr>
        <w:t xml:space="preserve">Where the use of an authorized generative AI tool would involve the disclosure of any of your confidential information to the tool's underlying model, we will obtain your informed consent in writing before that disclosure occurs. The information we will provide to you in seeking that consent will include the specific tool, the kinds of information that will be disclosed to the tool, the vendor's tenant-isolation and data-handling posture, the alternatives we considered, and the benefits and risks of the proposed use to your representation. Boilerplate consent will not satisfy this clause.</w:t>
      </w:r>
    </w:p>
    <w:p>
      <w:pPr>
        <w:spacing w:before="60" w:after="200"/>
      </w:pPr>
      <w:r>
        <w:rPr>
          <w:i/>
          <w:iCs/>
          <w:color w:val="6B6560"/>
          <w:sz w:val="18"/>
          <w:szCs w:val="18"/>
          <w:rFonts w:ascii="Calibri" w:cs="Calibri" w:eastAsia="Calibri" w:hAnsi="Calibri"/>
        </w:rPr>
        <w:t xml:space="preserve">Mirrors ABA Op. 512's informed-consent standard for self-learning tools, Florida Op. 24-1's third-party AI disclosure rule, and California Practical Guidance prohibition on inputting confidential information without provider conditions.</w:t>
      </w:r>
    </w:p>
    <w:p>
      <w:pPr>
        <w:pStyle w:val="Heading2"/>
        <w:spacing w:before="320" w:after="120"/>
      </w:pPr>
      <w:r>
        <w:rPr>
          <w:b/>
          <w:bCs/>
          <w:color w:val="1C1917"/>
          <w:sz w:val="28"/>
          <w:szCs w:val="28"/>
          <w:rFonts w:ascii="Cambria" w:cs="Cambria" w:eastAsia="Cambria" w:hAnsi="Cambria"/>
        </w:rPr>
        <w:t xml:space="preserve">Clause 03 — Rule 1.5 fee treatment</w:t>
      </w:r>
    </w:p>
    <w:p>
      <w:pPr>
        <w:spacing w:before="0" w:after="120" w:line="320"/>
      </w:pPr>
      <w:r>
        <w:rPr>
          <w:sz w:val="22"/>
          <w:szCs w:val="22"/>
          <w:rFonts w:ascii="Calibri" w:cs="Calibri" w:eastAsia="Calibri" w:hAnsi="Calibri"/>
        </w:rPr>
        <w:t xml:space="preserve">Where this Matter is billed on an hourly basis, we will bill only for time actually expended on your representation. Where generative AI is used and reduces the time required to perform a task, that time saving will be reflected in the invoice; we will not bill for time the lawyer did not spend. We may bill for time spent reviewing, refining, or verifying generative AI output where that work is performed by the responsible attorney. Where this Matter is handled on a flat fee, contingent fee, or other alternative fee arrangement, the fee set forth in the engagement letter reflects the value of the work product to be delivered; we will preserve internal records of AI-assisted activity sufficient to demonstrate that the agreed fee remains reasonable under the factors in Rule 1.5(a).</w:t>
      </w:r>
    </w:p>
    <w:p>
      <w:pPr>
        <w:spacing w:before="60" w:after="200"/>
      </w:pPr>
      <w:r>
        <w:rPr>
          <w:i/>
          <w:iCs/>
          <w:color w:val="6B6560"/>
          <w:sz w:val="18"/>
          <w:szCs w:val="18"/>
          <w:rFonts w:ascii="Calibri" w:cs="Calibri" w:eastAsia="Calibri" w:hAnsi="Calibri"/>
        </w:rPr>
        <w:t xml:space="preserve">Maps to ABA Op. 512's Rule 1.5 fee analysis, Texas Op. 705's hourly-billing limit, DC Op. 388's hourly-efficiency rule, the California Practical Guidance billing posture, and Florida Op. 24-1's actual-cost transparency requirement.</w:t>
      </w:r>
    </w:p>
    <w:p>
      <w:pPr>
        <w:pStyle w:val="Heading2"/>
        <w:spacing w:before="320" w:after="120"/>
      </w:pPr>
      <w:r>
        <w:rPr>
          <w:b/>
          <w:bCs/>
          <w:color w:val="1C1917"/>
          <w:sz w:val="28"/>
          <w:szCs w:val="28"/>
          <w:rFonts w:ascii="Cambria" w:cs="Cambria" w:eastAsia="Cambria" w:hAnsi="Cambria"/>
        </w:rPr>
        <w:t xml:space="preserve">Clause 04 — AI subscription cost pass-through posture</w:t>
      </w:r>
    </w:p>
    <w:p>
      <w:pPr>
        <w:spacing w:before="0" w:after="120" w:line="320"/>
      </w:pPr>
      <w:r>
        <w:rPr>
          <w:sz w:val="22"/>
          <w:szCs w:val="22"/>
          <w:rFonts w:ascii="Calibri" w:cs="Calibri" w:eastAsia="Calibri" w:hAnsi="Calibri"/>
        </w:rPr>
        <w:t xml:space="preserve">The firm treats the cost of authorized generative AI tools as part of office overhead by default. Where, on a particular Matter, the firm seeks to charge you for a portion of an AI tool's cost or on a per-use basis — whether because the tool is expensive and proprietary, or because the matter requires use beyond ordinary practice — we will explain the proposed charge in writing and obtain your written consent before incurring it. Any AI cost charged to you will be itemized on the invoice.</w:t>
      </w:r>
    </w:p>
    <w:p>
      <w:pPr>
        <w:spacing w:before="60" w:after="200"/>
      </w:pPr>
      <w:r>
        <w:rPr>
          <w:i/>
          <w:iCs/>
          <w:color w:val="6B6560"/>
          <w:sz w:val="18"/>
          <w:szCs w:val="18"/>
          <w:rFonts w:ascii="Calibri" w:cs="Calibri" w:eastAsia="Calibri" w:hAnsi="Calibri"/>
        </w:rPr>
        <w:t xml:space="preserve">Maps to ABA Op. 512's overhead-or-charge framework, Texas Op. 705's per-use pass-through with consent, and Florida Op. 24-1's preferred-in-writing disclosure standard.</w:t>
      </w:r>
    </w:p>
    <w:p>
      <w:pPr>
        <w:pStyle w:val="Heading2"/>
        <w:spacing w:before="320" w:after="120"/>
      </w:pPr>
      <w:r>
        <w:rPr>
          <w:b/>
          <w:bCs/>
          <w:color w:val="1C1917"/>
          <w:sz w:val="28"/>
          <w:szCs w:val="28"/>
          <w:rFonts w:ascii="Cambria" w:cs="Cambria" w:eastAsia="Cambria" w:hAnsi="Cambria"/>
        </w:rPr>
        <w:t xml:space="preserve">Clause 05 — Matter-team-staffing disclosure</w:t>
      </w:r>
    </w:p>
    <w:p>
      <w:pPr>
        <w:spacing w:before="0" w:after="120" w:line="320"/>
      </w:pPr>
      <w:r>
        <w:rPr>
          <w:sz w:val="22"/>
          <w:szCs w:val="22"/>
          <w:rFonts w:ascii="Calibri" w:cs="Calibri" w:eastAsia="Calibri" w:hAnsi="Calibri"/>
        </w:rPr>
        <w:t xml:space="preserve">Generative AI tools are treated as nonlawyer assistance under Rule 5.3 of the applicable Rules of Professional Conduct. Where AI is used on a Matter, the responsible attorney supervises the AI as the firm supervises any nonlawyer assistant, including verifying factual and citation accuracy of AI work product before any use, filing, or transmission. Where this Matter would otherwise have been staffed by a paralegal or junior associate and is instead staffed by a partner or senior associate plus AI, we will inform you of that staffing decision; the result will not increase the fee charged.</w:t>
      </w:r>
    </w:p>
    <w:p>
      <w:pPr>
        <w:spacing w:before="60" w:after="200"/>
      </w:pPr>
      <w:r>
        <w:rPr>
          <w:i/>
          <w:iCs/>
          <w:color w:val="6B6560"/>
          <w:sz w:val="18"/>
          <w:szCs w:val="18"/>
          <w:rFonts w:ascii="Calibri" w:cs="Calibri" w:eastAsia="Calibri" w:hAnsi="Calibri"/>
        </w:rPr>
        <w:t xml:space="preserve">Aligns with ABA Op. 512's supervision standard, the Pennsylvania-Philadelphia Joint Formal Op. 2024-200, and the NYSBA Task Force's paralegal-supervision recommendation.</w:t>
      </w:r>
    </w:p>
    <w:p>
      <w:pPr>
        <w:pBdr>
          <w:bottom w:val="single" w:color="D6D2CB" w:sz="6"/>
        </w:pBdr>
        <w:spacing w:before="120" w:after="120"/>
      </w:pPr>
    </w:p>
    <w:p>
      <w:pPr>
        <w:pStyle w:val="Heading1"/>
        <w:spacing w:before="0" w:after="160"/>
      </w:pPr>
      <w:r>
        <w:rPr>
          <w:b/>
          <w:bCs/>
          <w:color w:val="1C1917"/>
          <w:sz w:val="36"/>
          <w:szCs w:val="36"/>
          <w:rFonts w:ascii="Cambria" w:cs="Cambria" w:eastAsia="Cambria" w:hAnsi="Cambria"/>
        </w:rPr>
        <w:t xml:space="preserve">[FIRM NAME] — Pre-bill AI-time documentation pack</w:t>
      </w:r>
    </w:p>
    <w:p>
      <w:pPr>
        <w:spacing w:before="0" w:after="120" w:line="320"/>
      </w:pPr>
      <w:r>
        <w:rPr>
          <w:color w:val="6B6560"/>
          <w:sz w:val="18"/>
          <w:szCs w:val="18"/>
          <w:rFonts w:ascii="Calibri" w:cs="Calibri" w:eastAsia="Calibri" w:hAnsi="Calibri"/>
        </w:rPr>
        <w:t xml:space="preserve">Sectioned A–G. Each section is the artifact the firm produces and retains for every AI-material matter. The carrier-renewal questionnaire asks for these items by name. A Rule 1.5(a) reasonableness challenge or a malpractice-defense exhibit pulls them from the matter file.</w:t>
      </w:r>
    </w:p>
    <w:p>
      <w:pPr>
        <w:pStyle w:val="Heading3"/>
        <w:spacing w:before="240" w:after="80"/>
      </w:pPr>
      <w:r>
        <w:rPr>
          <w:b/>
          <w:bCs/>
          <w:color w:val="2B3C33"/>
          <w:sz w:val="22"/>
          <w:szCs w:val="22"/>
          <w:rFonts w:ascii="Cambria" w:cs="Cambria" w:eastAsia="Cambria" w:hAnsi="Cambria"/>
        </w:rPr>
        <w:t xml:space="preserve">Section A — Tool authorization at engagement open</w:t>
      </w:r>
    </w:p>
    <w:p>
      <w:pPr>
        <w:spacing w:before="0" w:after="120" w:line="320"/>
      </w:pPr>
      <w:r>
        <w:rPr>
          <w:sz w:val="22"/>
          <w:szCs w:val="22"/>
          <w:rFonts w:ascii="Calibri" w:cs="Calibri" w:eastAsia="Calibri" w:hAnsi="Calibri"/>
        </w:rPr>
        <w:t xml:space="preserve">Confirm the AI tool used on the Matter is on the firm's authorized list as of the engagement-open date. Where the client OCG requires pre-approval of specific tools, the OCG-response memo names the approved tools and the date of approval. Retained in matter file: authorized-tools register snapshot at engagement open. Vendor data-handling attestation reference for each authorized tool.</w:t>
      </w:r>
    </w:p>
    <w:p>
      <w:pPr>
        <w:pStyle w:val="Heading3"/>
        <w:spacing w:before="240" w:after="80"/>
      </w:pPr>
      <w:r>
        <w:rPr>
          <w:b/>
          <w:bCs/>
          <w:color w:val="2B3C33"/>
          <w:sz w:val="22"/>
          <w:szCs w:val="22"/>
          <w:rFonts w:ascii="Cambria" w:cs="Cambria" w:eastAsia="Cambria" w:hAnsi="Cambria"/>
        </w:rPr>
        <w:t xml:space="preserve">Section B — Rule 1.4 communication note</w:t>
      </w:r>
    </w:p>
    <w:p>
      <w:pPr>
        <w:spacing w:before="0" w:after="120" w:line="320"/>
      </w:pPr>
      <w:r>
        <w:rPr>
          <w:sz w:val="22"/>
          <w:szCs w:val="22"/>
          <w:rFonts w:ascii="Calibri" w:cs="Calibri" w:eastAsia="Calibri" w:hAnsi="Calibri"/>
        </w:rPr>
        <w:t xml:space="preserve">Per ABA Op. 512 and the NYSBA Task Force, the matter file records: (1) that disclosure to the client about AI use was considered; (2) the decision (disclose / do not disclose / disclose conditionally); and (3) the basis. Where disclosure is made, the communication itself is in the file. Retained in matter file: disclosure-consideration memo, disclosure communication where applicable, and date and author of each.</w:t>
      </w:r>
    </w:p>
    <w:p>
      <w:pPr>
        <w:pStyle w:val="Heading3"/>
        <w:spacing w:before="240" w:after="80"/>
      </w:pPr>
      <w:r>
        <w:rPr>
          <w:b/>
          <w:bCs/>
          <w:color w:val="2B3C33"/>
          <w:sz w:val="22"/>
          <w:szCs w:val="22"/>
          <w:rFonts w:ascii="Cambria" w:cs="Cambria" w:eastAsia="Cambria" w:hAnsi="Cambria"/>
        </w:rPr>
        <w:t xml:space="preserve">Section C — Time-entry narrative</w:t>
      </w:r>
    </w:p>
    <w:p>
      <w:pPr>
        <w:spacing w:before="0" w:after="120" w:line="320"/>
      </w:pPr>
      <w:r>
        <w:rPr>
          <w:sz w:val="22"/>
          <w:szCs w:val="22"/>
          <w:rFonts w:ascii="Calibri" w:cs="Calibri" w:eastAsia="Calibri" w:hAnsi="Calibri"/>
        </w:rPr>
        <w:t xml:space="preserve">AI-assisted time entries distinguish four categories: (1) AI-output review and refinement — billable on hourly; (2) AI-output verification — billable on hourly; (3) AI-tool learning time — not billable on hourly except where client specifically requested; (4) AI-saved time — not billable. The firm's billing system is configured to capture each category. Retained in matter file: full time-entry narrative for each AI-assisted entry; category flag.</w:t>
      </w:r>
    </w:p>
    <w:p>
      <w:pPr>
        <w:pStyle w:val="Heading3"/>
        <w:spacing w:before="240" w:after="80"/>
      </w:pPr>
      <w:r>
        <w:rPr>
          <w:b/>
          <w:bCs/>
          <w:color w:val="2B3C33"/>
          <w:sz w:val="22"/>
          <w:szCs w:val="22"/>
          <w:rFonts w:ascii="Cambria" w:cs="Cambria" w:eastAsia="Cambria" w:hAnsi="Cambria"/>
        </w:rPr>
        <w:t xml:space="preserve">Section D — Supervisor-review record</w:t>
      </w:r>
    </w:p>
    <w:p>
      <w:pPr>
        <w:spacing w:before="0" w:after="120" w:line="320"/>
      </w:pPr>
      <w:r>
        <w:rPr>
          <w:sz w:val="22"/>
          <w:szCs w:val="22"/>
          <w:rFonts w:ascii="Calibri" w:cs="Calibri" w:eastAsia="Calibri" w:hAnsi="Calibri"/>
        </w:rPr>
        <w:t xml:space="preserve">For each AI-assisted work product, the responsible attorney's verification is recorded with timestamp. The verification confirms factual and citation accuracy before any use, filing, or transmission. Retained in matter file: supervisor sign-off timestamp per work product; cite-check log per filing.</w:t>
      </w:r>
    </w:p>
    <w:p>
      <w:pPr>
        <w:pStyle w:val="Heading3"/>
        <w:spacing w:before="240" w:after="80"/>
      </w:pPr>
      <w:r>
        <w:rPr>
          <w:b/>
          <w:bCs/>
          <w:color w:val="2B3C33"/>
          <w:sz w:val="22"/>
          <w:szCs w:val="22"/>
          <w:rFonts w:ascii="Cambria" w:cs="Cambria" w:eastAsia="Cambria" w:hAnsi="Cambria"/>
        </w:rPr>
        <w:t xml:space="preserve">Section E — AI-tool-usage log retention schedule</w:t>
      </w:r>
    </w:p>
    <w:p>
      <w:pPr>
        <w:spacing w:before="0" w:after="120" w:line="320"/>
      </w:pPr>
      <w:r>
        <w:rPr>
          <w:sz w:val="22"/>
          <w:szCs w:val="22"/>
          <w:rFonts w:ascii="Calibri" w:cs="Calibri" w:eastAsia="Calibri" w:hAnsi="Calibri"/>
        </w:rPr>
        <w:t xml:space="preserve">Authorized AI tools log the user, timestamp, prompt, and output for each session on a Matter. The firm retains the log for a minimum of </w:t>
      </w:r>
      <w:r>
        <w:rPr>
          <w:b/>
          <w:bCs/>
          <w:color w:val="5E1F1F"/>
          <w:highlight w:val="yellow"/>
          <w:highlightCs w:val="yellow"/>
        </w:rPr>
        <w:t xml:space="preserve">[3 YEARS]</w:t>
      </w:r>
      <w:r>
        <w:rPr>
          <w:sz w:val="22"/>
          <w:szCs w:val="22"/>
          <w:rFonts w:ascii="Calibri" w:cs="Calibri" w:eastAsia="Calibri" w:hAnsi="Calibri"/>
        </w:rPr>
        <w:t xml:space="preserve"> post-matter closure, or per the client OCG's longer requirement. Where full prompt-and-output retention is itself a confidentiality risk, the firm retains a hashed or summary-level log instead.</w:t>
      </w:r>
    </w:p>
    <w:p>
      <w:pPr>
        <w:pStyle w:val="Heading3"/>
        <w:spacing w:before="240" w:after="80"/>
      </w:pPr>
      <w:r>
        <w:rPr>
          <w:b/>
          <w:bCs/>
          <w:color w:val="2B3C33"/>
          <w:sz w:val="22"/>
          <w:szCs w:val="22"/>
          <w:rFonts w:ascii="Cambria" w:cs="Cambria" w:eastAsia="Cambria" w:hAnsi="Cambria"/>
        </w:rPr>
        <w:t xml:space="preserve">Section F — Pre-bill review</w:t>
      </w:r>
    </w:p>
    <w:p>
      <w:pPr>
        <w:spacing w:before="0" w:after="120" w:line="320"/>
      </w:pPr>
      <w:r>
        <w:rPr>
          <w:sz w:val="22"/>
          <w:szCs w:val="22"/>
          <w:rFonts w:ascii="Calibri" w:cs="Calibri" w:eastAsia="Calibri" w:hAnsi="Calibri"/>
        </w:rPr>
        <w:t xml:space="preserve">Before each invoice issues, the responsible attorney or firm administrator reviews the matter file for: any AI-saved time appearing on the bill (must not be present); any AI-subscription pass-through that lacks documented client consent (must have written consent); any AI-assisted time entry not paired with a supervisor-review record (must be paired); any AI-material matter where the Rule 1.4 communication note is missing (must be present). The pre-bill review is documented in the billing system.</w:t>
      </w:r>
    </w:p>
    <w:p>
      <w:pPr>
        <w:pStyle w:val="Heading3"/>
        <w:spacing w:before="240" w:after="80"/>
      </w:pPr>
      <w:r>
        <w:rPr>
          <w:b/>
          <w:bCs/>
          <w:color w:val="2B3C33"/>
          <w:sz w:val="22"/>
          <w:szCs w:val="22"/>
          <w:rFonts w:ascii="Cambria" w:cs="Cambria" w:eastAsia="Cambria" w:hAnsi="Cambria"/>
        </w:rPr>
        <w:t xml:space="preserve">Section G — Carrier-renewal export</w:t>
      </w:r>
    </w:p>
    <w:p>
      <w:pPr>
        <w:spacing w:before="0" w:after="120" w:line="320"/>
      </w:pPr>
      <w:r>
        <w:rPr>
          <w:sz w:val="22"/>
          <w:szCs w:val="22"/>
          <w:rFonts w:ascii="Calibri" w:cs="Calibri" w:eastAsia="Calibri" w:hAnsi="Calibri"/>
        </w:rPr>
        <w:t xml:space="preserve">At the end of the policy period, the firm exports a matter-list summary with the AI-material flag, the count of disclosure-considered notes, the count of supervisor-reviewed AI work products, the cite-check log totals, and the count of any reportable AI-related incidents. The export is the carrier-renewal exhibit.</w:t>
      </w:r>
    </w:p>
    <w:p>
      <w:pPr>
        <w:pBdr>
          <w:bottom w:val="single" w:color="D6D2CB" w:sz="6"/>
        </w:pBdr>
        <w:spacing w:before="120" w:after="120"/>
      </w:pPr>
    </w:p>
    <w:p>
      <w:pPr>
        <w:pStyle w:val="Heading2"/>
        <w:spacing w:before="320" w:after="120"/>
      </w:pPr>
      <w:r>
        <w:rPr>
          <w:b/>
          <w:bCs/>
          <w:color w:val="1C1917"/>
          <w:sz w:val="28"/>
          <w:szCs w:val="28"/>
          <w:rFonts w:ascii="Cambria" w:cs="Cambria" w:eastAsia="Cambria" w:hAnsi="Cambria"/>
        </w:rPr>
        <w:t xml:space="preserve">Signature block</w:t>
      </w:r>
    </w:p>
    <w:p>
      <w:pPr>
        <w:spacing w:before="0" w:after="120" w:line="320"/>
      </w:pPr>
      <w:r>
        <w:rPr>
          <w:sz w:val="22"/>
          <w:szCs w:val="22"/>
          <w:rFonts w:ascii="Calibri" w:cs="Calibri" w:eastAsia="Calibri" w:hAnsi="Calibri"/>
        </w:rPr>
        <w:t xml:space="preserve">Adopted by </w:t>
      </w:r>
      <w:r>
        <w:rPr>
          <w:b/>
          <w:bCs/>
          <w:color w:val="5E1F1F"/>
          <w:highlight w:val="yellow"/>
          <w:highlightCs w:val="yellow"/>
        </w:rPr>
        <w:t xml:space="preserve">[MANAGING PARTNER NAME]</w:t>
      </w:r>
      <w:r>
        <w:rPr>
          <w:sz w:val="22"/>
          <w:szCs w:val="22"/>
          <w:rFonts w:ascii="Calibri" w:cs="Calibri" w:eastAsia="Calibri" w:hAnsi="Calibri"/>
        </w:rPr>
        <w:t xml:space="preserve">, Managing Partner. Reviewed by </w:t>
      </w:r>
      <w:r>
        <w:rPr>
          <w:b/>
          <w:bCs/>
          <w:color w:val="5E1F1F"/>
          <w:highlight w:val="yellow"/>
          <w:highlightCs w:val="yellow"/>
        </w:rPr>
        <w:t xml:space="preserve">[ETHICS PARTNER NAME]</w:t>
      </w:r>
      <w:r>
        <w:rPr>
          <w:sz w:val="22"/>
          <w:szCs w:val="22"/>
          <w:rFonts w:ascii="Calibri" w:cs="Calibri" w:eastAsia="Calibri" w:hAnsi="Calibri"/>
        </w:rPr>
        <w:t xml:space="preserve">, Ethics Partner. Effective </w:t>
      </w:r>
      <w:r>
        <w:rPr>
          <w:b/>
          <w:bCs/>
          <w:color w:val="5E1F1F"/>
          <w:highlight w:val="yellow"/>
          <w:highlightCs w:val="yellow"/>
        </w:rPr>
        <w:t xml:space="preserve">[DATE]</w:t>
      </w:r>
      <w:r>
        <w:rPr>
          <w:sz w:val="22"/>
          <w:szCs w:val="22"/>
          <w:rFonts w:ascii="Calibri" w:cs="Calibri" w:eastAsia="Calibri" w:hAnsi="Calibri"/>
        </w:rPr>
        <w:t xml:space="preserve">.</w:t>
      </w:r>
    </w:p>
    <w:p>
      <w:pPr>
        <w:spacing w:before="0" w:after="120" w:line="320"/>
      </w:pPr>
      <w:r>
        <w:rPr>
          <w:color w:val="6B6560"/>
          <w:sz w:val="18"/>
          <w:szCs w:val="18"/>
          <w:rFonts w:ascii="Calibri" w:cs="Calibri" w:eastAsia="Calibri" w:hAnsi="Calibri"/>
        </w:rPr>
        <w:t xml:space="preserve">Anchored to ABA Formal Opinion 512 (July 29, 2024); Texas State Bar Op. 705 (February 2025); Florida Bar Ethics Op. 24-1 (January 19, 2024); California State Bar Practical Guidance (November 16, 2023); D.C. Bar Op. 388 (April 2024); NYSBA Task Force on AI Report (April 6, 2024); PA-Phila. Bar Joint Formal Op. 2024-200 (May 22, 2024). Full sources, operative-language excerpts, and the 30-row OCG-clause crosswalk in the 38-page reading version at zusmanpartners.com / law-firms / ai-engagement-letter-fee-billing.</w:t>
      </w:r>
    </w:p>
    <w:p>
      <w:pPr>
        <w:spacing w:before="60" w:after="200"/>
      </w:pPr>
      <w:r>
        <w:rPr>
          <w:i/>
          <w:iCs/>
          <w:color w:val="6B6560"/>
          <w:sz w:val="18"/>
          <w:szCs w:val="18"/>
          <w:rFonts w:ascii="Calibri" w:cs="Calibri" w:eastAsia="Calibri" w:hAnsi="Calibri"/>
        </w:rPr>
        <w:t xml:space="preserve">A starting-point template. Not legal advice. Your ethics partner reviews and approves before deployment.</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Engagement-Letter and Rule 1.5 Fee-Billing — Word Template</dc:title>
  <dc:creator>Zusman Partners</dc:creator>
  <dc:description>Five-clause engagement-letter language pack and pre-bill AI-time documentation pack. Calibrated to ABA Op. 512, Texas Op. 705, and the leading state-bar follow-ons.</dc:description>
  <cp:lastModifiedBy>Un-named</cp:lastModifiedBy>
  <cp:revision>1</cp:revision>
  <dcterms:created xsi:type="dcterms:W3CDTF">2026-05-04T11:57:31.554Z</dcterms:created>
  <dcterms:modified xsi:type="dcterms:W3CDTF">2026-05-04T11:57:31.555Z</dcterms:modified>
</cp:coreProperties>
</file>

<file path=docProps/custom.xml><?xml version="1.0" encoding="utf-8"?>
<Properties xmlns="http://schemas.openxmlformats.org/officeDocument/2006/custom-properties" xmlns:vt="http://schemas.openxmlformats.org/officeDocument/2006/docPropsVTypes"/>
</file>