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left"/>
      </w:pPr>
      <w:r>
        <w:rPr>
          <w:b/>
          <w:sz w:val="44"/>
        </w:rPr>
        <w:t>[FIRM NAME] — Generative AI Use Policy</w:t>
      </w:r>
      <w:r>
        <w:rPr>
          <w:b/>
          <w:color w:val="801F1F"/>
          <w:shd w:val="clear" w:color="auto" w:fill="FFF2A8"/>
        </w:rPr>
      </w:r>
    </w:p>
    <w:p>
      <w:r>
        <w:rPr>
          <w:i/>
          <w:color w:val="555555"/>
        </w:rPr>
        <w:t>A 512-aligned written policy template. Replace bracketed values with your firm's. Reviewed and approved by your Ethics Partner before adoption.</w:t>
      </w:r>
    </w:p>
    <w:p>
      <w:pPr>
        <w:ind w:left="360"/>
      </w:pPr>
      <w:r>
        <w:rPr>
          <w:i/>
          <w:color w:val="555555"/>
          <w:sz w:val="20"/>
        </w:rPr>
        <w:t>How to use this document. Highlighted yellow tokens are placeholders. Replace each with your firm's value. Save as [FIRM NAME]_AI_Policy_v1.docx in the firm policy binder. Source: ABA Formal Opinion 512 (July 29, 2024) and operative state-bar opinions.</w:t>
      </w:r>
    </w:p>
    <w:p>
      <w:pPr>
        <w:pBdr>
          <w:bottom w:val="single" w:sz="8" w:space="1" w:color="B0B0B0"/>
        </w:pBdr>
      </w:pPr>
    </w:p>
    <w:p>
      <w:pPr/>
      <w:r>
        <w:t xml:space="preserve">Effective </w:t>
      </w:r>
      <w:r>
        <w:rPr>
          <w:b/>
          <w:color w:val="801F1F"/>
          <w:shd w:val="clear" w:color="auto" w:fill="FFF2A8"/>
        </w:rPr>
        <w:t>[DATE]</w:t>
      </w:r>
      <w:r>
        <w:t xml:space="preserve">. Reviewed annually by </w:t>
      </w:r>
      <w:r>
        <w:rPr>
          <w:b/>
          <w:color w:val="801F1F"/>
          <w:shd w:val="clear" w:color="auto" w:fill="FFF2A8"/>
        </w:rPr>
        <w:t>[ETHICS PARTNER NAME]</w:t>
      </w:r>
      <w:r>
        <w:t>.</w:t>
      </w:r>
    </w:p>
    <w:p>
      <w:pPr>
        <w:pBdr>
          <w:bottom w:val="single" w:sz="8" w:space="1" w:color="B0B0B0"/>
        </w:pBdr>
      </w:pPr>
    </w:p>
    <w:p>
      <w:pPr>
        <w:pStyle w:val="Heading1"/>
      </w:pPr>
      <w:r>
        <w:t>1. Authorized tools.</w:t>
      </w:r>
    </w:p>
    <w:p>
      <w:pPr/>
      <w:r>
        <w:t xml:space="preserve">The following AI tools are authorized for use on client matters: [AUTHORIZED TOOLS — e.g. Harvey, Spellbook, Casetext CoCounsel, ChatGPT Enterprise, Lexis+ AI]. No other AI tool may be used on client confidences without prior written approval from </w:t>
      </w:r>
      <w:r>
        <w:rPr>
          <w:b/>
          <w:color w:val="801F1F"/>
          <w:shd w:val="clear" w:color="auto" w:fill="FFF2A8"/>
        </w:rPr>
        <w:t>[ETHICS PARTNER]</w:t>
      </w:r>
      <w:r>
        <w:t>. Personal accounts on consumer AI tools (free ChatGPT, free Claude, Gemini personal) are prohibited for any client work.</w:t>
      </w:r>
    </w:p>
    <w:p>
      <w:pPr>
        <w:pStyle w:val="Heading1"/>
      </w:pPr>
      <w:r>
        <w:t>2. Confidentiality (Rule 1.6).</w:t>
      </w:r>
    </w:p>
    <w:p>
      <w:pPr/>
      <w:r>
        <w:t xml:space="preserve">Every authorized tool operates in a tenant-isolated environment. Inputs are not used to train the underlying model and are not accessible to other tenants of the vendor. The firm holds a written data-handling attestation from each vendor in </w:t>
      </w:r>
      <w:r>
        <w:rPr>
          <w:b/>
          <w:color w:val="801F1F"/>
          <w:shd w:val="clear" w:color="auto" w:fill="FFF2A8"/>
        </w:rPr>
        <w:t>[VENDOR FILE LOCATION]</w:t>
      </w:r>
      <w:r>
        <w:t>. Before any AI tool is used on a matter where client confidences are involved, the matter file must contain the specific consent clause referenced in the engagement letter (see Appendix A).</w:t>
      </w:r>
    </w:p>
    <w:p>
      <w:pPr>
        <w:pStyle w:val="Heading1"/>
      </w:pPr>
      <w:r>
        <w:t>3. Supervision (Rules 5.1 and 5.3).</w:t>
      </w:r>
    </w:p>
    <w:p>
      <w:pPr/>
      <w:r>
        <w:t>AI is treated as nonlawyer assistance under Rule 5.3. Every AI-assisted work product is reviewed by a responsible attorney before any use, filing, or transmission. The responsible attorney is competent in the tool under Rule 1.1 (see §4 below). The supervision chain is documented in the matter file.</w:t>
      </w:r>
    </w:p>
    <w:p>
      <w:pPr>
        <w:pStyle w:val="Heading1"/>
      </w:pPr>
      <w:r>
        <w:t>4. Competence (Rule 1.1, Comment 8).</w:t>
      </w:r>
    </w:p>
    <w:p>
      <w:pPr/>
      <w:r>
        <w:t xml:space="preserve">Every attorney authorized to use an AI tool has completed training specific to that tool — its capabilities, its known failure modes, the verification discipline, the categories of work the tool is not used for. Training records are retained in </w:t>
      </w:r>
      <w:r>
        <w:rPr>
          <w:b/>
          <w:color w:val="801F1F"/>
          <w:shd w:val="clear" w:color="auto" w:fill="FFF2A8"/>
        </w:rPr>
        <w:t>[HR / TRAINING FILE LOCATION]</w:t>
      </w:r>
      <w:r>
        <w:t>. Partners who supervise AI-assisted work product are trained on the same standard as the associates.</w:t>
      </w:r>
    </w:p>
    <w:p>
      <w:pPr>
        <w:pStyle w:val="Heading1"/>
      </w:pPr>
      <w:r>
        <w:t>5. Candor (Rules 3.1 and 3.3).</w:t>
      </w:r>
    </w:p>
    <w:p>
      <w:pPr/>
      <w:r>
        <w:t xml:space="preserve">AI-assisted litigation work product is cite-checked against primary source before any partner signs. Standing-order compliance is verified per district before any filing. The firm maintains a current standing-order register at </w:t>
      </w:r>
      <w:r>
        <w:rPr>
          <w:b/>
          <w:color w:val="801F1F"/>
          <w:shd w:val="clear" w:color="auto" w:fill="FFF2A8"/>
        </w:rPr>
        <w:t>[REGISTER LOCATION]</w:t>
      </w:r>
      <w:r>
        <w:t>.</w:t>
      </w:r>
    </w:p>
    <w:p>
      <w:pPr>
        <w:pStyle w:val="Heading1"/>
      </w:pPr>
      <w:r>
        <w:t>6. Communication (Rule 1.4).</w:t>
      </w:r>
    </w:p>
    <w:p>
      <w:r>
        <w:t>For every matter where AI is material to work product or fee, the matter file contains a short note from the responsible partner recording (a) that disclosure to the client was considered, (b) the decision, and (c) the basis. Where disclosure is made, the client communication is in the file.</w:t>
      </w:r>
    </w:p>
    <w:p>
      <w:pPr>
        <w:pStyle w:val="Heading1"/>
      </w:pPr>
      <w:r>
        <w:t>7. Fees (Rule 1.5).</w:t>
      </w:r>
    </w:p>
    <w:p>
      <w:r>
        <w:t>The firm does not bill clients for time the lawyer did not spend. Time spent reviewing AI-assisted work product is billable consistent with Rule 1.5. AI-assisted matters handled on alternative fee arrangements are priced consistent with the AFA terms in the engagement letter.</w:t>
      </w:r>
    </w:p>
    <w:p>
      <w:pPr>
        <w:pStyle w:val="Heading1"/>
      </w:pPr>
      <w:r>
        <w:t>8. Incident response.</w:t>
      </w:r>
    </w:p>
    <w:p>
      <w:pPr/>
      <w:r>
        <w:t xml:space="preserve">Any suspected confidentiality breach, hallucinated citation submitted to a tribunal, or unauthorized use of an AI tool on client confidences is reported to </w:t>
      </w:r>
      <w:r>
        <w:rPr>
          <w:b/>
          <w:color w:val="801F1F"/>
          <w:shd w:val="clear" w:color="auto" w:fill="FFF2A8"/>
        </w:rPr>
        <w:t>[ETHICS PARTNER]</w:t>
      </w:r>
      <w:r>
        <w:t xml:space="preserve"> within [24 / 48] hours. The Ethics Partner determines whether client notification, malpractice-carrier notification, or bar reporting is required.</w:t>
      </w:r>
    </w:p>
    <w:p>
      <w:pPr>
        <w:pStyle w:val="Heading1"/>
      </w:pPr>
      <w:r>
        <w:t>9. Review.</w:t>
      </w:r>
    </w:p>
    <w:p>
      <w:pPr/>
      <w:r>
        <w:t xml:space="preserve">This policy is reviewed annually and after any material change to authorized tools, applicable bar opinions, or firm practice. Date of last review: </w:t>
      </w:r>
      <w:r>
        <w:rPr>
          <w:b/>
          <w:color w:val="801F1F"/>
          <w:shd w:val="clear" w:color="auto" w:fill="FFF2A8"/>
        </w:rPr>
        <w:t>[DATE]</w:t>
      </w:r>
      <w:r>
        <w:t xml:space="preserve">. Reviewed by: </w:t>
      </w:r>
      <w:r>
        <w:rPr>
          <w:b/>
          <w:color w:val="801F1F"/>
          <w:shd w:val="clear" w:color="auto" w:fill="FFF2A8"/>
        </w:rPr>
        <w:t>[ETHICS PARTNER NAME]</w:t>
      </w:r>
      <w:r>
        <w:t>.</w:t>
      </w:r>
    </w:p>
    <w:p>
      <w:pPr>
        <w:pBdr>
          <w:bottom w:val="single" w:sz="8" w:space="1" w:color="B0B0B0"/>
        </w:pBdr>
      </w:pPr>
    </w:p>
    <w:p>
      <w:r>
        <w:rPr>
          <w:sz w:val="20"/>
        </w:rPr>
        <w:t xml:space="preserve">Approved by </w:t>
      </w:r>
      <w:r>
        <w:rPr>
          <w:b/>
          <w:color w:val="801F1F"/>
          <w:shd w:val="clear" w:color="auto" w:fill="FFF2A8"/>
        </w:rPr>
        <w:t>[MANAGING PARTNER NAME]</w:t>
      </w:r>
      <w:r>
        <w:rPr>
          <w:sz w:val="20"/>
        </w:rPr>
        <w:t xml:space="preserve">, Managing Partner. Reviewed by </w:t>
      </w:r>
      <w:r>
        <w:rPr>
          <w:b/>
          <w:color w:val="801F1F"/>
          <w:shd w:val="clear" w:color="auto" w:fill="FFF2A8"/>
        </w:rPr>
        <w:t>[ETHICS PARTNER NAME]</w:t>
      </w:r>
      <w:r>
        <w:rPr>
          <w:sz w:val="20"/>
        </w:rPr>
        <w:t xml:space="preserve">, Ethics Partner. </w:t>
      </w:r>
      <w:r>
        <w:rPr>
          <w:b/>
          <w:color w:val="801F1F"/>
          <w:shd w:val="clear" w:color="auto" w:fill="FFF2A8"/>
        </w:rPr>
        <w:t>[DATE]</w:t>
      </w:r>
      <w:r>
        <w:rPr>
          <w:sz w:val="20"/>
        </w:rPr>
        <w:t>.</w:t>
      </w:r>
    </w:p>
    <w:p>
      <w:r>
        <w:br w:type="page"/>
      </w:r>
    </w:p>
    <w:p>
      <w:r>
        <w:rPr>
          <w:b/>
          <w:color w:val="801F1F"/>
          <w:sz w:val="32"/>
        </w:rPr>
        <w:t>Appendix A — Engagement-letter consent clauses</w:t>
      </w:r>
    </w:p>
    <w:p>
      <w:pPr>
        <w:ind w:left="360"/>
      </w:pPr>
      <w:r>
        <w:rPr>
          <w:i/>
          <w:color w:val="555555"/>
          <w:sz w:val="20"/>
        </w:rPr>
        <w:t>Specific-consent language. ABA Formal Opinion 512 explicitly rejects boilerplate. The default clause below is built to the Florida Bar 24-1 standard so a single clause covers a multi-state footprint.</w:t>
      </w:r>
    </w:p>
    <w:p>
      <w:pPr>
        <w:pStyle w:val="Heading1"/>
      </w:pPr>
      <w:r>
        <w:t>Default clause — multi-state, Florida-grade.</w:t>
      </w:r>
    </w:p>
    <w:p>
      <w:pPr/>
      <w:r>
        <w:t>In connection with the Matter, we may use the following generative AI tools to assist with our representation: [AUTHORIZED TOOLS — e.g. Harvey, Spellbook, Casetext CoCounsel]. These tools may be used for [CATEGORIES OF WORK — e.g. first-draft preparation of motions and briefs, deposition-preparation summaries, contract clause comparison, legal research synthesis]. Inputs to these tools may include documents and information you provide. The tools are configured to operate in a tenant-isolated environment; inputs are not used to train the underlying AI models, are not accessible to other tenants of the vendor, and are retained only as required to support your matter. All AI-assisted work product is reviewed by a responsible attorney before any use, filing, or transmission. By signing below you specifically consent to this use. We will obtain separate written consent before using any AI tool not listed above on your matter.</w:t>
      </w:r>
    </w:p>
    <w:p>
      <w:pPr>
        <w:pStyle w:val="Heading1"/>
      </w:pPr>
      <w:r>
        <w:t>Litigation matters — addendum (Rule 3.3 + standing orders).</w:t>
      </w:r>
    </w:p>
    <w:p>
      <w:r>
        <w:t>Any AI-assisted work product filed with a tribunal is cite-checked against primary source before signature. Where the tribunal's standing order requires AI-use disclosure in filings, the firm complies with the standing order on every filing in the Matter. The firm tracks the current standing-order register for every district in which it practices.</w:t>
      </w:r>
    </w:p>
    <w:p>
      <w:pPr>
        <w:pStyle w:val="Heading1"/>
      </w:pPr>
      <w:r>
        <w:t>Alternative-fee matters — addendum (Rule 1.5).</w:t>
      </w:r>
    </w:p>
    <w:p>
      <w:r>
        <w:t>The firm does not bill for time saved by AI assistance. The fees set forth in this engagement letter reflect the value of the work product delivered, not time spent. Where AI is material to the work product, the firm retains internal records of AI-assisted activity sufficient to satisfy Rule 1.5's reasonableness standard on review.</w:t>
      </w:r>
    </w:p>
    <w:p>
      <w:pPr>
        <w:ind w:left="360"/>
      </w:pPr>
      <w:r>
        <w:rPr>
          <w:i/>
          <w:color w:val="555555"/>
          <w:sz w:val="20"/>
        </w:rPr>
        <w:t>A starting-point sample. Not legal advice. Your Ethics Partner reviews and approves before deployment.</w:t>
      </w:r>
    </w:p>
    <w:p>
      <w:r>
        <w:br w:type="page"/>
      </w:r>
    </w:p>
    <w:p>
      <w:r>
        <w:rPr>
          <w:b/>
          <w:color w:val="801F1F"/>
          <w:sz w:val="32"/>
        </w:rPr>
        <w:t>Appendix B — Malpractice-carrier renewal pack</w:t>
      </w:r>
    </w:p>
    <w:p>
      <w:pPr>
        <w:ind w:left="360"/>
      </w:pPr>
      <w:r>
        <w:rPr>
          <w:i/>
          <w:color w:val="555555"/>
          <w:sz w:val="20"/>
        </w:rPr>
        <w:t>The single document the broker reads instead of asking the governance question. Section structure follows the typical AI-governance section of a renewal questionnaire.</w:t>
      </w:r>
    </w:p>
    <w:p>
      <w:pPr>
        <w:pStyle w:val="Heading1"/>
      </w:pPr>
      <w:r>
        <w:t>A. Written AI-use policy.</w:t>
      </w:r>
    </w:p>
    <w:p>
      <w:pPr/>
      <w:r>
        <w:t xml:space="preserve">Attached. Approved by Managing Partner and Ethics Partner. Date of last review: </w:t>
      </w:r>
      <w:r>
        <w:rPr>
          <w:b/>
          <w:color w:val="801F1F"/>
          <w:shd w:val="clear" w:color="auto" w:fill="FFF2A8"/>
        </w:rPr>
        <w:t>[DATE]</w:t>
      </w:r>
      <w:r>
        <w:t>.</w:t>
      </w:r>
    </w:p>
    <w:p>
      <w:pPr>
        <w:pStyle w:val="Heading1"/>
      </w:pPr>
      <w:r>
        <w:t>B. Authorized tools and vendor data-handling.</w:t>
      </w:r>
    </w:p>
    <w:p>
      <w:pPr/>
      <w:r>
        <w:t>The firm authorizes [N] tools, listed in §1 of the policy. For each tool, the firm holds a written vendor attestation covering tenant isolation, no training on inputs, retention policy, and incident-response posture. Available on request.</w:t>
      </w:r>
    </w:p>
    <w:p>
      <w:pPr>
        <w:pStyle w:val="Heading1"/>
      </w:pPr>
      <w:r>
        <w:t>C. Engagement-letter language.</w:t>
      </w:r>
    </w:p>
    <w:p>
      <w:r>
        <w:t>Specific-consent language is included in every engagement letter for matters where AI is material. Built to Florida Bar 24-1 standard. Sample clause attached (Appendix A).</w:t>
      </w:r>
    </w:p>
    <w:p>
      <w:pPr>
        <w:pStyle w:val="Heading1"/>
      </w:pPr>
      <w:r>
        <w:t>D. Supervision protocol.</w:t>
      </w:r>
    </w:p>
    <w:p>
      <w:r>
        <w:t>§3 of the policy. Responsible-attorney designation per AI-assisted work product. Documented in matter file.</w:t>
      </w:r>
    </w:p>
    <w:p>
      <w:pPr>
        <w:pStyle w:val="Heading1"/>
      </w:pPr>
      <w:r>
        <w:t>E. Training program.</w:t>
      </w:r>
    </w:p>
    <w:p>
      <w:pPr/>
      <w:r>
        <w:t xml:space="preserve">§4 of the policy. Training is tool-specific and applies to partners and associates equally. Records retained in </w:t>
      </w:r>
      <w:r>
        <w:rPr>
          <w:b/>
          <w:color w:val="801F1F"/>
          <w:shd w:val="clear" w:color="auto" w:fill="FFF2A8"/>
        </w:rPr>
        <w:t>[LOCATION]</w:t>
      </w:r>
      <w:r>
        <w:t>.</w:t>
      </w:r>
    </w:p>
    <w:p>
      <w:pPr>
        <w:pStyle w:val="Heading1"/>
      </w:pPr>
      <w:r>
        <w:t>F. Litigation verification.</w:t>
      </w:r>
    </w:p>
    <w:p>
      <w:pPr/>
      <w:r>
        <w:t xml:space="preserve">§5 of the policy. Every AI-assisted filing cite-checked against primary source. Standing-order register current as of </w:t>
      </w:r>
      <w:r>
        <w:rPr>
          <w:b/>
          <w:color w:val="801F1F"/>
          <w:shd w:val="clear" w:color="auto" w:fill="FFF2A8"/>
        </w:rPr>
        <w:t>[DATE]</w:t>
      </w:r>
      <w:r>
        <w:t>.</w:t>
      </w:r>
    </w:p>
    <w:p>
      <w:pPr>
        <w:pStyle w:val="Heading1"/>
      </w:pPr>
      <w:r>
        <w:t>G. Incident response.</w:t>
      </w:r>
    </w:p>
    <w:p>
      <w:pPr/>
      <w:r>
        <w:t xml:space="preserve">§8 of the policy. Reporting timeline: [24 / 48] hours. No reportable incidents in the current policy period. [OR — Incidents reported and addressed: </w:t>
      </w:r>
      <w:r>
        <w:rPr>
          <w:b/>
          <w:color w:val="801F1F"/>
          <w:shd w:val="clear" w:color="auto" w:fill="FFF2A8"/>
        </w:rPr>
        <w:t>[SUMMARY]</w:t>
      </w:r>
      <w:r>
        <w:t>, with remediation.]</w:t>
      </w:r>
    </w:p>
    <w:p>
      <w:r>
        <w:br w:type="page"/>
      </w:r>
    </w:p>
    <w:p>
      <w:r>
        <w:rPr>
          <w:b/>
          <w:color w:val="801F1F"/>
          <w:sz w:val="32"/>
        </w:rPr>
        <w:t>Appendix C — Primary sources</w:t>
      </w:r>
    </w:p>
    <w:p>
      <w:r>
        <w:rPr>
          <w:b/>
        </w:rPr>
        <w:t xml:space="preserve">ABA Formal Opinion 512. </w:t>
      </w:r>
      <w:r>
        <w:t>American Bar Association Standing Committee on Ethics and Professional Responsibility, July 29, 2024. Generative Artificial Intelligence Tools.</w:t>
      </w:r>
    </w:p>
    <w:p>
      <w:r>
        <w:rPr>
          <w:b/>
        </w:rPr>
        <w:t xml:space="preserve">Florida Bar Ethics Opinion 24-1. </w:t>
      </w:r>
      <w:r>
        <w:t>The Florida Bar, January 2024. Informed consent before any disclosure of confidential information to a third-party generative AI program.</w:t>
      </w:r>
    </w:p>
    <w:p>
      <w:r>
        <w:rPr>
          <w:b/>
        </w:rPr>
        <w:t xml:space="preserve">California State Bar Practical Guidance. </w:t>
      </w:r>
      <w:r>
        <w:t>State Bar of California, November 2023. Practical Guidance for the Use of Generative AI in the Practice of Law.</w:t>
      </w:r>
    </w:p>
    <w:p>
      <w:r>
        <w:rPr>
          <w:b/>
        </w:rPr>
        <w:t xml:space="preserve">DC Bar Ethics Opinion 388. </w:t>
      </w:r>
      <w:r>
        <w:t>DC Bar, April 2024. Attorneys' Use of Generative AI in Client Matters.</w:t>
      </w:r>
    </w:p>
    <w:p>
      <w:r>
        <w:rPr>
          <w:b/>
        </w:rPr>
        <w:t xml:space="preserve">NYSBA Task Force on AI Report. </w:t>
      </w:r>
      <w:r>
        <w:t>New York State Bar Association, April 2024. Report and recommendations on the use of artificial intelligence by legal professionals.</w:t>
      </w:r>
    </w:p>
    <w:p>
      <w:r>
        <w:rPr>
          <w:b/>
        </w:rPr>
        <w:t xml:space="preserve">Pennsylvania / Philadelphia Bar Formal Opinion 2024-200. </w:t>
      </w:r>
      <w:r>
        <w:t>Joint Formal Opinion of the Pennsylvania Bar Association and Philadelphia Bar Association, 2024.</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ascii="Calibri" w:hAnsi="Calibri"/>
      <w:b/>
      <w:bCs/>
      <w:color w:val="801F1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ascii="Calibri" w:hAnsi="Calibri"/>
      <w:b/>
      <w:bCs/>
      <w:color w:val="333333"/>
      <w:sz w:val="24"/>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ascii="Calibri" w:hAnsi="Calibri"/>
      <w:b/>
      <w:color w:val="17365D" w:themeColor="text2" w:themeShade="BF"/>
      <w:spacing w:val="5"/>
      <w:kern w:val="28"/>
      <w:sz w:val="44"/>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